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ind w:left="0" w:right="0" w:firstLine="4535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муниципального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3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образования 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3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33"/>
        <w:ind w:left="0" w:right="0" w:firstLine="4535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 06.11.2025 г. № 131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33"/>
        <w:ind w:left="0" w:right="0" w:firstLine="45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ind w:left="0" w:right="0" w:firstLine="45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ind w:left="0" w:right="0" w:firstLine="0"/>
        <w:jc w:val="center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Перечень объектов движимого имущества, предлагаемых к передаче </w:t>
      </w:r>
      <w:r>
        <w:rPr>
          <w:rFonts w:ascii="FreeSerif" w:hAnsi="FreeSerif" w:eastAsia="FreeSerif" w:cs="FreeSerif"/>
          <w:b w:val="0"/>
          <w:bCs w:val="0"/>
          <w:color w:val="00000a"/>
          <w:sz w:val="28"/>
          <w:szCs w:val="28"/>
        </w:rPr>
        <w:t xml:space="preserve">Государственному фонду поддержки участников специальной военной операции «Защитники Отечества»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pStyle w:val="833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33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4678"/>
      </w:tblGrid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№ п/п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Наименование объекта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Индивидуализирующие характеристики,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 стоимость (руб.) по состоянию на 01.06.2025 г.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Компьютер в сборе (системный блок, монитор, клавиатура, мышь)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инвентарный номер 1108527353,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кол-во 1 шт.,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27 396,18 руб.,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МФУ Kyocera FS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Инвентарный номер 1108526720,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кол-во 1 шт.,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6 600,00 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Сетевой фильтр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Кол-во 1 шт.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3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Общая стоимость 195, 00 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</w:tbl>
    <w:p>
      <w:pPr>
        <w:pStyle w:val="833"/>
        <w:ind w:left="0" w:right="0" w:firstLine="0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33"/>
        <w:ind w:left="0" w:right="0" w:firstLine="0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3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Заместитель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sz w:val="28"/>
          <w:szCs w:val="28"/>
        </w:rPr>
        <w:t xml:space="preserve">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ind w:left="0" w:right="0" w:firstLine="0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2025-11-10T07:35:09Z</dcterms:modified>
</cp:coreProperties>
</file>